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1"/>
        <w:gridCol w:w="2428"/>
        <w:gridCol w:w="2083"/>
      </w:tblGrid>
      <w:tr w:rsidR="00DB0804" w:rsidRPr="003E0FC3" w14:paraId="436E8769" w14:textId="77777777" w:rsidTr="00E46C4F">
        <w:trPr>
          <w:trHeight w:val="1220"/>
        </w:trPr>
        <w:tc>
          <w:tcPr>
            <w:tcW w:w="4551" w:type="dxa"/>
          </w:tcPr>
          <w:p w14:paraId="4EFB10A3" w14:textId="200B5D88" w:rsidR="00AE08BD" w:rsidRDefault="003E0FC3" w:rsidP="00AE08BD">
            <w:pPr>
              <w:spacing w:after="0" w:line="240" w:lineRule="auto"/>
              <w:rPr>
                <w:rFonts w:ascii="Arial" w:hAnsi="Arial" w:cs="Arial"/>
                <w:sz w:val="16"/>
                <w:szCs w:val="16"/>
              </w:rPr>
            </w:pPr>
            <w:r>
              <w:rPr>
                <w:rFonts w:ascii="Arial" w:hAnsi="Arial" w:cs="Arial"/>
                <w:sz w:val="16"/>
                <w:szCs w:val="16"/>
              </w:rPr>
              <w:t>Company</w:t>
            </w:r>
          </w:p>
          <w:p w14:paraId="10BA2020" w14:textId="77777777" w:rsidR="00DB0804" w:rsidRPr="00AE08BD" w:rsidRDefault="00134CE1" w:rsidP="00134CE1">
            <w:pPr>
              <w:pStyle w:val="Sidhuvud"/>
              <w:jc w:val="center"/>
              <w:rPr>
                <w:rFonts w:ascii="Courier New" w:hAnsi="Courier New" w:cs="Courier New"/>
                <w:b/>
                <w:color w:val="8EB610"/>
                <w:sz w:val="28"/>
                <w:szCs w:val="28"/>
              </w:rPr>
            </w:pPr>
            <w:r>
              <w:rPr>
                <w:rFonts w:ascii="Courier New" w:hAnsi="Courier New" w:cs="Courier New"/>
                <w:noProof/>
                <w:color w:val="8EB610"/>
                <w:sz w:val="20"/>
                <w:szCs w:val="20"/>
                <w:lang w:eastAsia="sv-SE"/>
              </w:rPr>
              <w:drawing>
                <wp:inline distT="0" distB="0" distL="0" distR="0" wp14:anchorId="6F98B4B5" wp14:editId="505981AC">
                  <wp:extent cx="926123" cy="522720"/>
                  <wp:effectExtent l="0" t="0" r="7620" b="0"/>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ompetensutveckla 2 liten.png"/>
                          <pic:cNvPicPr/>
                        </pic:nvPicPr>
                        <pic:blipFill>
                          <a:blip r:embed="rId7">
                            <a:extLst>
                              <a:ext uri="{28A0092B-C50C-407E-A947-70E740481C1C}">
                                <a14:useLocalDpi xmlns:a14="http://schemas.microsoft.com/office/drawing/2010/main" val="0"/>
                              </a:ext>
                            </a:extLst>
                          </a:blip>
                          <a:stretch>
                            <a:fillRect/>
                          </a:stretch>
                        </pic:blipFill>
                        <pic:spPr>
                          <a:xfrm>
                            <a:off x="0" y="0"/>
                            <a:ext cx="1421109" cy="802099"/>
                          </a:xfrm>
                          <a:prstGeom prst="rect">
                            <a:avLst/>
                          </a:prstGeom>
                        </pic:spPr>
                      </pic:pic>
                    </a:graphicData>
                  </a:graphic>
                </wp:inline>
              </w:drawing>
            </w:r>
          </w:p>
        </w:tc>
        <w:tc>
          <w:tcPr>
            <w:tcW w:w="4511" w:type="dxa"/>
            <w:gridSpan w:val="2"/>
          </w:tcPr>
          <w:p w14:paraId="4F6F161C" w14:textId="38123BE3" w:rsidR="00DB0804" w:rsidRPr="003E0FC3" w:rsidRDefault="003E0FC3" w:rsidP="006B5029">
            <w:pPr>
              <w:spacing w:after="0" w:line="240" w:lineRule="auto"/>
              <w:rPr>
                <w:rFonts w:ascii="Arial" w:hAnsi="Arial" w:cs="Arial"/>
                <w:sz w:val="16"/>
                <w:szCs w:val="16"/>
                <w:lang w:val="en-GB"/>
              </w:rPr>
            </w:pPr>
            <w:r w:rsidRPr="003E0FC3">
              <w:rPr>
                <w:rFonts w:ascii="Arial" w:hAnsi="Arial" w:cs="Arial"/>
                <w:sz w:val="16"/>
                <w:szCs w:val="16"/>
                <w:lang w:val="en-GB"/>
              </w:rPr>
              <w:t>Document Name</w:t>
            </w:r>
          </w:p>
          <w:p w14:paraId="73B009A2" w14:textId="52A18A5F" w:rsidR="00DB0804" w:rsidRPr="003E0FC3" w:rsidRDefault="003E0FC3" w:rsidP="002D6475">
            <w:pPr>
              <w:spacing w:after="0" w:line="240" w:lineRule="auto"/>
              <w:rPr>
                <w:rFonts w:ascii="Arial" w:hAnsi="Arial" w:cs="Arial"/>
                <w:b/>
                <w:sz w:val="28"/>
                <w:szCs w:val="28"/>
                <w:lang w:val="en-GB"/>
              </w:rPr>
            </w:pPr>
            <w:r w:rsidRPr="003E0FC3">
              <w:rPr>
                <w:rFonts w:ascii="Arial" w:hAnsi="Arial" w:cs="Arial"/>
                <w:b/>
                <w:sz w:val="28"/>
                <w:szCs w:val="28"/>
                <w:lang w:val="en-GB"/>
              </w:rPr>
              <w:t>Procedure</w:t>
            </w:r>
            <w:r>
              <w:rPr>
                <w:rFonts w:ascii="Arial" w:hAnsi="Arial" w:cs="Arial"/>
                <w:b/>
                <w:sz w:val="28"/>
                <w:szCs w:val="28"/>
                <w:lang w:val="en-GB"/>
              </w:rPr>
              <w:t>:</w:t>
            </w:r>
            <w:r w:rsidRPr="003E0FC3">
              <w:rPr>
                <w:rFonts w:ascii="Arial" w:hAnsi="Arial" w:cs="Arial"/>
                <w:b/>
                <w:sz w:val="28"/>
                <w:szCs w:val="28"/>
                <w:lang w:val="en-GB"/>
              </w:rPr>
              <w:t xml:space="preserve"> Examining t</w:t>
            </w:r>
            <w:r>
              <w:rPr>
                <w:rFonts w:ascii="Arial" w:hAnsi="Arial" w:cs="Arial"/>
                <w:b/>
                <w:sz w:val="28"/>
                <w:szCs w:val="28"/>
                <w:lang w:val="en-GB"/>
              </w:rPr>
              <w:t>he Work Environment</w:t>
            </w:r>
          </w:p>
        </w:tc>
      </w:tr>
      <w:tr w:rsidR="00AE08BD" w:rsidRPr="00A549B9" w14:paraId="570CF4F8" w14:textId="77777777" w:rsidTr="00AE08BD">
        <w:tc>
          <w:tcPr>
            <w:tcW w:w="4551" w:type="dxa"/>
          </w:tcPr>
          <w:p w14:paraId="024D8EDB" w14:textId="45CC8BF6" w:rsidR="00AE08BD" w:rsidRDefault="003E0FC3" w:rsidP="00AE08BD">
            <w:pPr>
              <w:spacing w:after="0" w:line="240" w:lineRule="auto"/>
              <w:rPr>
                <w:rFonts w:ascii="Arial" w:hAnsi="Arial" w:cs="Arial"/>
                <w:sz w:val="16"/>
                <w:szCs w:val="16"/>
                <w:lang w:val="en-US"/>
              </w:rPr>
            </w:pPr>
            <w:r>
              <w:rPr>
                <w:rFonts w:ascii="Arial" w:hAnsi="Arial" w:cs="Arial"/>
                <w:sz w:val="16"/>
                <w:szCs w:val="16"/>
                <w:lang w:val="en-US"/>
              </w:rPr>
              <w:t>Created by</w:t>
            </w:r>
          </w:p>
          <w:p w14:paraId="746E1483" w14:textId="77777777" w:rsidR="00AE08BD" w:rsidRPr="00F2564B" w:rsidRDefault="00AE08BD" w:rsidP="00AE08BD">
            <w:pPr>
              <w:spacing w:line="240" w:lineRule="auto"/>
            </w:pPr>
          </w:p>
        </w:tc>
        <w:tc>
          <w:tcPr>
            <w:tcW w:w="2428" w:type="dxa"/>
          </w:tcPr>
          <w:p w14:paraId="3E15E532" w14:textId="46A01E0E" w:rsidR="00AE08BD" w:rsidRDefault="00E46C4F" w:rsidP="00AE08BD">
            <w:pPr>
              <w:spacing w:after="0" w:line="240" w:lineRule="auto"/>
              <w:rPr>
                <w:rFonts w:ascii="Arial" w:hAnsi="Arial" w:cs="Arial"/>
                <w:sz w:val="16"/>
                <w:szCs w:val="16"/>
                <w:lang w:val="en-US"/>
              </w:rPr>
            </w:pPr>
            <w:proofErr w:type="spellStart"/>
            <w:r>
              <w:rPr>
                <w:rFonts w:ascii="Arial" w:hAnsi="Arial" w:cs="Arial"/>
                <w:sz w:val="16"/>
                <w:szCs w:val="16"/>
              </w:rPr>
              <w:t>Do</w:t>
            </w:r>
            <w:r w:rsidR="003E0FC3">
              <w:rPr>
                <w:rFonts w:ascii="Arial" w:hAnsi="Arial" w:cs="Arial"/>
                <w:sz w:val="16"/>
                <w:szCs w:val="16"/>
              </w:rPr>
              <w:t>cument</w:t>
            </w:r>
            <w:proofErr w:type="spellEnd"/>
            <w:r w:rsidR="003E0FC3">
              <w:rPr>
                <w:rFonts w:ascii="Arial" w:hAnsi="Arial" w:cs="Arial"/>
                <w:sz w:val="16"/>
                <w:szCs w:val="16"/>
              </w:rPr>
              <w:t xml:space="preserve"> </w:t>
            </w:r>
            <w:proofErr w:type="spellStart"/>
            <w:r w:rsidR="003E0FC3">
              <w:rPr>
                <w:rFonts w:ascii="Arial" w:hAnsi="Arial" w:cs="Arial"/>
                <w:sz w:val="16"/>
                <w:szCs w:val="16"/>
              </w:rPr>
              <w:t>Owner</w:t>
            </w:r>
            <w:proofErr w:type="spellEnd"/>
          </w:p>
          <w:p w14:paraId="69068674" w14:textId="77777777" w:rsidR="00AE08BD" w:rsidRPr="00F2564B" w:rsidRDefault="00AE08BD" w:rsidP="00AE08BD">
            <w:pPr>
              <w:spacing w:after="0" w:line="240" w:lineRule="auto"/>
              <w:rPr>
                <w:rFonts w:asciiTheme="minorHAnsi" w:hAnsiTheme="minorHAnsi" w:cs="Arial"/>
                <w:lang w:val="en-US"/>
              </w:rPr>
            </w:pPr>
          </w:p>
          <w:p w14:paraId="3A61016F" w14:textId="77777777" w:rsidR="007771C3" w:rsidRPr="00AE08BD" w:rsidRDefault="007771C3" w:rsidP="00AE08BD">
            <w:pPr>
              <w:spacing w:after="0" w:line="240" w:lineRule="auto"/>
              <w:rPr>
                <w:rFonts w:ascii="Arial" w:hAnsi="Arial" w:cs="Arial"/>
                <w:sz w:val="16"/>
                <w:szCs w:val="16"/>
                <w:lang w:val="en-US"/>
              </w:rPr>
            </w:pPr>
          </w:p>
        </w:tc>
        <w:tc>
          <w:tcPr>
            <w:tcW w:w="2083" w:type="dxa"/>
          </w:tcPr>
          <w:p w14:paraId="3680CB61" w14:textId="77777777" w:rsidR="00F2564B" w:rsidRDefault="00DB0804" w:rsidP="00F2564B">
            <w:pPr>
              <w:spacing w:after="0" w:line="240" w:lineRule="auto"/>
              <w:rPr>
                <w:rFonts w:ascii="Arial" w:hAnsi="Arial" w:cs="Arial"/>
                <w:sz w:val="16"/>
                <w:szCs w:val="16"/>
              </w:rPr>
            </w:pPr>
            <w:r>
              <w:rPr>
                <w:rFonts w:ascii="Arial" w:hAnsi="Arial" w:cs="Arial"/>
                <w:sz w:val="16"/>
                <w:szCs w:val="16"/>
              </w:rPr>
              <w:t>Version</w:t>
            </w:r>
          </w:p>
          <w:p w14:paraId="060709BB" w14:textId="77777777" w:rsidR="00DB0804" w:rsidRPr="00F2564B" w:rsidRDefault="00DB0804" w:rsidP="00AE08BD">
            <w:pPr>
              <w:spacing w:after="0" w:line="240" w:lineRule="auto"/>
              <w:rPr>
                <w:rFonts w:asciiTheme="minorHAnsi" w:hAnsiTheme="minorHAnsi" w:cs="Arial"/>
              </w:rPr>
            </w:pPr>
          </w:p>
        </w:tc>
      </w:tr>
      <w:tr w:rsidR="00AE08BD" w:rsidRPr="00A549B9" w14:paraId="144C6DB7" w14:textId="77777777" w:rsidTr="00AE08BD">
        <w:tc>
          <w:tcPr>
            <w:tcW w:w="4551" w:type="dxa"/>
          </w:tcPr>
          <w:p w14:paraId="271EA41D" w14:textId="1761EBB9" w:rsidR="00AE08BD" w:rsidRDefault="003E0FC3" w:rsidP="00F1666F">
            <w:pPr>
              <w:spacing w:after="0" w:line="240" w:lineRule="auto"/>
              <w:rPr>
                <w:rFonts w:ascii="Arial" w:hAnsi="Arial" w:cs="Arial"/>
                <w:sz w:val="16"/>
                <w:szCs w:val="16"/>
                <w:lang w:val="en-US"/>
              </w:rPr>
            </w:pPr>
            <w:r>
              <w:rPr>
                <w:rFonts w:ascii="Arial" w:hAnsi="Arial" w:cs="Arial"/>
                <w:sz w:val="16"/>
                <w:szCs w:val="16"/>
                <w:lang w:val="en-US"/>
              </w:rPr>
              <w:t>Approved by</w:t>
            </w:r>
          </w:p>
          <w:p w14:paraId="5D8AB417" w14:textId="77777777" w:rsidR="00AE08BD" w:rsidRPr="00F2564B" w:rsidRDefault="00AE08BD" w:rsidP="00AE08BD">
            <w:pPr>
              <w:spacing w:after="0" w:line="240" w:lineRule="auto"/>
              <w:rPr>
                <w:rFonts w:asciiTheme="minorHAnsi" w:hAnsiTheme="minorHAnsi" w:cs="Arial"/>
              </w:rPr>
            </w:pPr>
          </w:p>
        </w:tc>
        <w:tc>
          <w:tcPr>
            <w:tcW w:w="2428" w:type="dxa"/>
          </w:tcPr>
          <w:p w14:paraId="2D2BC21B" w14:textId="55C7FFC8" w:rsidR="00F2564B" w:rsidRDefault="003E0FC3" w:rsidP="00AE08BD">
            <w:pPr>
              <w:spacing w:after="0" w:line="240" w:lineRule="auto"/>
              <w:rPr>
                <w:rFonts w:ascii="Arial" w:hAnsi="Arial" w:cs="Arial"/>
                <w:sz w:val="16"/>
                <w:szCs w:val="16"/>
              </w:rPr>
            </w:pPr>
            <w:r>
              <w:rPr>
                <w:rFonts w:ascii="Arial" w:hAnsi="Arial" w:cs="Arial"/>
                <w:sz w:val="16"/>
                <w:szCs w:val="16"/>
                <w:lang w:val="en-US"/>
              </w:rPr>
              <w:t>Approval Date</w:t>
            </w:r>
          </w:p>
          <w:p w14:paraId="02C240EE" w14:textId="77777777" w:rsidR="00AE08BD" w:rsidRDefault="00AE08BD" w:rsidP="00AE08BD">
            <w:pPr>
              <w:spacing w:line="240" w:lineRule="auto"/>
            </w:pPr>
          </w:p>
        </w:tc>
        <w:tc>
          <w:tcPr>
            <w:tcW w:w="2083" w:type="dxa"/>
          </w:tcPr>
          <w:p w14:paraId="7F239D09" w14:textId="6C5DBC2B" w:rsidR="00AE08BD" w:rsidRPr="00F2564B" w:rsidRDefault="003E0FC3" w:rsidP="003E0FC3">
            <w:pPr>
              <w:spacing w:after="0" w:line="240" w:lineRule="auto"/>
              <w:rPr>
                <w:rFonts w:asciiTheme="minorHAnsi" w:hAnsiTheme="minorHAnsi" w:cs="Arial"/>
              </w:rPr>
            </w:pPr>
            <w:r>
              <w:rPr>
                <w:rFonts w:ascii="Arial" w:hAnsi="Arial" w:cs="Arial"/>
                <w:sz w:val="16"/>
                <w:szCs w:val="16"/>
              </w:rPr>
              <w:t>Valid from</w:t>
            </w:r>
          </w:p>
        </w:tc>
      </w:tr>
    </w:tbl>
    <w:p w14:paraId="5319BA4E" w14:textId="77777777" w:rsidR="00DC53B9" w:rsidRPr="00A549B9" w:rsidRDefault="00DC53B9" w:rsidP="00AE08BD">
      <w:pPr>
        <w:spacing w:line="240" w:lineRule="auto"/>
        <w:rPr>
          <w:rFonts w:ascii="Arial" w:hAnsi="Arial" w:cs="Arial"/>
          <w:sz w:val="16"/>
          <w:szCs w:val="16"/>
        </w:rPr>
      </w:pPr>
    </w:p>
    <w:p w14:paraId="1D0D1E5A" w14:textId="1964F0A8" w:rsidR="002D6475" w:rsidRPr="002D6475" w:rsidRDefault="003E0FC3" w:rsidP="002D6475">
      <w:pPr>
        <w:rPr>
          <w:rFonts w:asciiTheme="minorHAnsi" w:hAnsiTheme="minorHAnsi"/>
          <w:b/>
        </w:rPr>
      </w:pPr>
      <w:proofErr w:type="spellStart"/>
      <w:r>
        <w:rPr>
          <w:rFonts w:asciiTheme="minorHAnsi" w:hAnsiTheme="minorHAnsi"/>
          <w:b/>
        </w:rPr>
        <w:t>Purpose</w:t>
      </w:r>
      <w:proofErr w:type="spellEnd"/>
    </w:p>
    <w:p w14:paraId="1B521846" w14:textId="04F1EB52" w:rsidR="002D6475" w:rsidRPr="003E0FC3" w:rsidRDefault="003E0FC3" w:rsidP="002D6475">
      <w:pPr>
        <w:rPr>
          <w:rFonts w:asciiTheme="minorHAnsi" w:hAnsiTheme="minorHAnsi"/>
          <w:lang w:val="en-GB"/>
        </w:rPr>
      </w:pPr>
      <w:r w:rsidRPr="003E0FC3">
        <w:rPr>
          <w:rFonts w:asciiTheme="minorHAnsi" w:hAnsiTheme="minorHAnsi"/>
          <w:lang w:val="en-GB"/>
        </w:rPr>
        <w:t>The purpose of this procedure is to capture, identify, and map potential work environment risks that may exist in our operations.</w:t>
      </w:r>
      <w:r w:rsidR="002D6475" w:rsidRPr="003E0FC3">
        <w:rPr>
          <w:rFonts w:asciiTheme="minorHAnsi" w:hAnsiTheme="minorHAnsi"/>
          <w:lang w:val="en-GB"/>
        </w:rPr>
        <w:t xml:space="preserve"> </w:t>
      </w:r>
    </w:p>
    <w:p w14:paraId="3779E409" w14:textId="1C1E4F58" w:rsidR="002D6475" w:rsidRPr="003E0FC3" w:rsidRDefault="002D6475" w:rsidP="002D6475">
      <w:pPr>
        <w:rPr>
          <w:rFonts w:asciiTheme="minorHAnsi" w:hAnsiTheme="minorHAnsi"/>
          <w:b/>
          <w:lang w:val="en-GB"/>
        </w:rPr>
      </w:pPr>
      <w:r w:rsidRPr="003E0FC3">
        <w:rPr>
          <w:rFonts w:asciiTheme="minorHAnsi" w:hAnsiTheme="minorHAnsi"/>
          <w:b/>
          <w:lang w:val="en-GB"/>
        </w:rPr>
        <w:t>Definit</w:t>
      </w:r>
      <w:r w:rsidR="003E0FC3" w:rsidRPr="003E0FC3">
        <w:rPr>
          <w:rFonts w:asciiTheme="minorHAnsi" w:hAnsiTheme="minorHAnsi"/>
          <w:b/>
          <w:lang w:val="en-GB"/>
        </w:rPr>
        <w:t>ions</w:t>
      </w:r>
      <w:r w:rsidRPr="003E0FC3">
        <w:rPr>
          <w:rFonts w:asciiTheme="minorHAnsi" w:hAnsiTheme="minorHAnsi"/>
          <w:b/>
          <w:lang w:val="en-GB"/>
        </w:rPr>
        <w:t xml:space="preserve"> </w:t>
      </w:r>
    </w:p>
    <w:p w14:paraId="4BC15919" w14:textId="77777777" w:rsidR="003E0FC3" w:rsidRPr="003E0FC3" w:rsidRDefault="003E0FC3" w:rsidP="003E0FC3">
      <w:pPr>
        <w:rPr>
          <w:rFonts w:asciiTheme="minorHAnsi" w:hAnsiTheme="minorHAnsi"/>
          <w:lang w:val="en-GB"/>
        </w:rPr>
      </w:pPr>
      <w:r w:rsidRPr="003E0FC3">
        <w:rPr>
          <w:rFonts w:asciiTheme="minorHAnsi" w:hAnsiTheme="minorHAnsi"/>
          <w:lang w:val="en-GB"/>
        </w:rPr>
        <w:t>Examining the work environment refers here to the methods and procedures used to regularly, when needed, and during organizational changes, examine the work environment in relation to factors that may represent risk sources. Examples of work environment factors that must be observed in our organization include organizational and social factors such as unhealthy workload, job satisfaction, conflicts, harassment, and unclear expectations. Other examples are screen work, manual handling, the use of work equipment, forklifts, chemical handling, and driving.</w:t>
      </w:r>
    </w:p>
    <w:p w14:paraId="5383E155" w14:textId="77777777" w:rsidR="003E0FC3" w:rsidRPr="003E0FC3" w:rsidRDefault="003E0FC3" w:rsidP="003E0FC3">
      <w:pPr>
        <w:rPr>
          <w:rFonts w:asciiTheme="minorHAnsi" w:hAnsiTheme="minorHAnsi"/>
          <w:lang w:val="en-GB"/>
        </w:rPr>
      </w:pPr>
      <w:r w:rsidRPr="003E0FC3">
        <w:rPr>
          <w:rFonts w:asciiTheme="minorHAnsi" w:hAnsiTheme="minorHAnsi"/>
          <w:lang w:val="en-GB"/>
        </w:rPr>
        <w:t>A risk source is a specific condition or circumstance that may lead to ill health or accidents.</w:t>
      </w:r>
    </w:p>
    <w:p w14:paraId="02CAE17C" w14:textId="58D53A37" w:rsidR="003E0FC3" w:rsidRPr="00D64608" w:rsidRDefault="003E0FC3" w:rsidP="002D6475">
      <w:pPr>
        <w:rPr>
          <w:rFonts w:asciiTheme="minorHAnsi" w:hAnsiTheme="minorHAnsi"/>
          <w:b/>
          <w:sz w:val="28"/>
          <w:szCs w:val="28"/>
          <w:lang w:val="en-GB"/>
        </w:rPr>
      </w:pPr>
      <w:r w:rsidRPr="00D64608">
        <w:rPr>
          <w:rFonts w:asciiTheme="minorHAnsi" w:hAnsiTheme="minorHAnsi"/>
          <w:b/>
          <w:sz w:val="28"/>
          <w:szCs w:val="28"/>
          <w:lang w:val="en-GB"/>
        </w:rPr>
        <w:t>Procedure</w:t>
      </w:r>
      <w:r w:rsidR="00D64608" w:rsidRPr="00D64608">
        <w:rPr>
          <w:rFonts w:asciiTheme="minorHAnsi" w:hAnsiTheme="minorHAnsi"/>
          <w:b/>
          <w:sz w:val="28"/>
          <w:szCs w:val="28"/>
          <w:lang w:val="en-GB"/>
        </w:rPr>
        <w:t>s</w:t>
      </w:r>
    </w:p>
    <w:p w14:paraId="2A5BAAF4" w14:textId="7BF155AC" w:rsidR="002D6475" w:rsidRPr="003E0FC3" w:rsidRDefault="003E0FC3" w:rsidP="002D6475">
      <w:pPr>
        <w:rPr>
          <w:rFonts w:asciiTheme="minorHAnsi" w:hAnsiTheme="minorHAnsi"/>
          <w:lang w:val="en-GB"/>
        </w:rPr>
      </w:pPr>
      <w:r w:rsidRPr="003E0FC3">
        <w:rPr>
          <w:rFonts w:asciiTheme="minorHAnsi" w:hAnsiTheme="minorHAnsi"/>
          <w:b/>
          <w:lang w:val="en-GB"/>
        </w:rPr>
        <w:t>Safety Inspections</w:t>
      </w:r>
      <w:r w:rsidR="002D6475" w:rsidRPr="003E0FC3">
        <w:rPr>
          <w:rFonts w:asciiTheme="minorHAnsi" w:hAnsiTheme="minorHAnsi"/>
          <w:lang w:val="en-GB"/>
        </w:rPr>
        <w:t xml:space="preserve"> </w:t>
      </w:r>
    </w:p>
    <w:p w14:paraId="4F3B58D8" w14:textId="77777777" w:rsidR="003E0FC3" w:rsidRPr="003E0FC3" w:rsidRDefault="003E0FC3" w:rsidP="002D6475">
      <w:pPr>
        <w:rPr>
          <w:rFonts w:asciiTheme="minorHAnsi" w:hAnsiTheme="minorHAnsi"/>
          <w:lang w:val="en-GB"/>
        </w:rPr>
      </w:pPr>
      <w:r w:rsidRPr="003E0FC3">
        <w:rPr>
          <w:rFonts w:asciiTheme="minorHAnsi" w:hAnsiTheme="minorHAnsi"/>
          <w:lang w:val="en-GB"/>
        </w:rPr>
        <w:t xml:space="preserve">Safety inspections must be conducted twice a year. During these inspections, safety representatives and, when relevant, other employees should participate. Responsible managers must take the initiative to carry out the inspections, using the </w:t>
      </w:r>
      <w:r w:rsidRPr="003E0FC3">
        <w:rPr>
          <w:rFonts w:asciiTheme="minorHAnsi" w:hAnsiTheme="minorHAnsi"/>
          <w:i/>
          <w:iCs/>
          <w:lang w:val="en-GB"/>
        </w:rPr>
        <w:t>Safety Inspection Checklist</w:t>
      </w:r>
      <w:r w:rsidRPr="003E0FC3">
        <w:rPr>
          <w:rFonts w:asciiTheme="minorHAnsi" w:hAnsiTheme="minorHAnsi"/>
          <w:lang w:val="en-GB"/>
        </w:rPr>
        <w:t xml:space="preserve"> as support. The results of the examinations must be documented in the checklists. Any deficiencies and risks identified must be managed in accordance with the procedures for risk assessment and action planning. See </w:t>
      </w:r>
      <w:r w:rsidRPr="003E0FC3">
        <w:rPr>
          <w:rFonts w:asciiTheme="minorHAnsi" w:hAnsiTheme="minorHAnsi"/>
          <w:i/>
          <w:iCs/>
          <w:lang w:val="en-GB"/>
        </w:rPr>
        <w:t>Procedure: Risk Assessment, Implementation of Measures, and Action Plan</w:t>
      </w:r>
      <w:r w:rsidRPr="003E0FC3">
        <w:rPr>
          <w:rFonts w:asciiTheme="minorHAnsi" w:hAnsiTheme="minorHAnsi"/>
          <w:lang w:val="en-GB"/>
        </w:rPr>
        <w:t>.</w:t>
      </w:r>
    </w:p>
    <w:p w14:paraId="12D4F870" w14:textId="3A17719C" w:rsidR="002D6475" w:rsidRPr="003E0FC3" w:rsidRDefault="003E0FC3" w:rsidP="002D6475">
      <w:pPr>
        <w:rPr>
          <w:rFonts w:asciiTheme="minorHAnsi" w:hAnsiTheme="minorHAnsi"/>
          <w:b/>
          <w:lang w:val="en-GB"/>
        </w:rPr>
      </w:pPr>
      <w:r>
        <w:rPr>
          <w:rFonts w:asciiTheme="minorHAnsi" w:hAnsiTheme="minorHAnsi"/>
          <w:b/>
          <w:lang w:val="en-GB"/>
        </w:rPr>
        <w:t>Performance Reviews</w:t>
      </w:r>
    </w:p>
    <w:p w14:paraId="33865F5F" w14:textId="77777777" w:rsidR="003E0FC3" w:rsidRDefault="003E0FC3" w:rsidP="002D6475">
      <w:pPr>
        <w:rPr>
          <w:rFonts w:asciiTheme="minorHAnsi" w:hAnsiTheme="minorHAnsi"/>
          <w:lang w:val="en-GB"/>
        </w:rPr>
      </w:pPr>
      <w:r w:rsidRPr="003E0FC3">
        <w:rPr>
          <w:rFonts w:asciiTheme="minorHAnsi" w:hAnsiTheme="minorHAnsi"/>
          <w:lang w:val="en-GB"/>
        </w:rPr>
        <w:t>Once a year, performance reviews are conducted with all employees. The manager responsible holds these reviews. The conversation should address issues such as job satisfaction, workload, workplace relationships, and perceived boundaries between private and professional life. A follow-up must be carried out in line with what the manager and employee agree upon. These performance reviews are part of how we examine our organizational and social work environment.</w:t>
      </w:r>
    </w:p>
    <w:p w14:paraId="4465AC76" w14:textId="77777777" w:rsidR="003E0FC3" w:rsidRDefault="003E0FC3">
      <w:pPr>
        <w:spacing w:after="0" w:line="240" w:lineRule="auto"/>
        <w:rPr>
          <w:rFonts w:asciiTheme="minorHAnsi" w:hAnsiTheme="minorHAnsi"/>
          <w:b/>
          <w:lang w:val="en-GB"/>
        </w:rPr>
      </w:pPr>
      <w:r>
        <w:rPr>
          <w:rFonts w:asciiTheme="minorHAnsi" w:hAnsiTheme="minorHAnsi"/>
          <w:b/>
          <w:lang w:val="en-GB"/>
        </w:rPr>
        <w:br w:type="page"/>
      </w:r>
    </w:p>
    <w:p w14:paraId="6417E30E" w14:textId="0555B74D" w:rsidR="002D6475" w:rsidRPr="003E0FC3" w:rsidRDefault="003E0FC3" w:rsidP="002D6475">
      <w:pPr>
        <w:rPr>
          <w:rFonts w:asciiTheme="minorHAnsi" w:hAnsiTheme="minorHAnsi"/>
          <w:b/>
          <w:lang w:val="en-GB"/>
        </w:rPr>
      </w:pPr>
      <w:r w:rsidRPr="003E0FC3">
        <w:rPr>
          <w:rFonts w:asciiTheme="minorHAnsi" w:hAnsiTheme="minorHAnsi"/>
          <w:b/>
          <w:lang w:val="en-GB"/>
        </w:rPr>
        <w:lastRenderedPageBreak/>
        <w:t>Department meetings</w:t>
      </w:r>
    </w:p>
    <w:p w14:paraId="3AD805BA" w14:textId="77777777" w:rsidR="003E0FC3" w:rsidRPr="003E0FC3" w:rsidRDefault="003E0FC3" w:rsidP="002D6475">
      <w:pPr>
        <w:rPr>
          <w:rFonts w:asciiTheme="minorHAnsi" w:hAnsiTheme="minorHAnsi"/>
          <w:lang w:val="en-GB"/>
        </w:rPr>
      </w:pPr>
      <w:r w:rsidRPr="003E0FC3">
        <w:rPr>
          <w:rFonts w:asciiTheme="minorHAnsi" w:hAnsiTheme="minorHAnsi"/>
          <w:lang w:val="en-GB"/>
        </w:rPr>
        <w:t>Each department holds workplace meetings twice per month. The immediate manager leads these meetings, and the work environment is a standing item on the agenda. During these meetings, current issues concerning the work environment, relevant regulations, and any reported incidents or accidents are discussed.</w:t>
      </w:r>
    </w:p>
    <w:p w14:paraId="57FD467C" w14:textId="77777777" w:rsidR="003E0FC3" w:rsidRDefault="003E0FC3" w:rsidP="002D6475">
      <w:pPr>
        <w:rPr>
          <w:rFonts w:asciiTheme="minorHAnsi" w:hAnsiTheme="minorHAnsi"/>
          <w:b/>
        </w:rPr>
      </w:pPr>
      <w:proofErr w:type="spellStart"/>
      <w:r w:rsidRPr="003E0FC3">
        <w:rPr>
          <w:rFonts w:asciiTheme="minorHAnsi" w:hAnsiTheme="minorHAnsi"/>
          <w:b/>
        </w:rPr>
        <w:t>Targeted</w:t>
      </w:r>
      <w:proofErr w:type="spellEnd"/>
      <w:r w:rsidRPr="003E0FC3">
        <w:rPr>
          <w:rFonts w:asciiTheme="minorHAnsi" w:hAnsiTheme="minorHAnsi"/>
          <w:b/>
        </w:rPr>
        <w:t xml:space="preserve"> examinations</w:t>
      </w:r>
    </w:p>
    <w:p w14:paraId="7B17F914" w14:textId="77777777" w:rsidR="003E0FC3" w:rsidRPr="003E0FC3" w:rsidRDefault="003E0FC3" w:rsidP="002D6475">
      <w:pPr>
        <w:rPr>
          <w:rFonts w:asciiTheme="minorHAnsi" w:hAnsiTheme="minorHAnsi"/>
          <w:lang w:val="en-GB"/>
        </w:rPr>
      </w:pPr>
      <w:r w:rsidRPr="003E0FC3">
        <w:rPr>
          <w:rFonts w:asciiTheme="minorHAnsi" w:hAnsiTheme="minorHAnsi"/>
          <w:lang w:val="en-GB"/>
        </w:rPr>
        <w:t>Targeted examinations must be carried out to assess risks related to indoor climate (ventilation/air quality), manual handling, screen work, forklifts, driving, and chemical hazards. The need for further targeted examinations may become apparent after safety inspections, performance reviews, or when other issues or deficiencies in the work environment are discovered. The responsible manager is accountable for initiating these targeted examinations. If there is a lack of expertise within the organization to carry out specific examinations, the responsible manager must engage external specialists, preferably occupational health services.</w:t>
      </w:r>
    </w:p>
    <w:p w14:paraId="14220408" w14:textId="04794F18" w:rsidR="002D6475" w:rsidRPr="003E0FC3" w:rsidRDefault="003E0FC3" w:rsidP="002D6475">
      <w:pPr>
        <w:rPr>
          <w:rFonts w:asciiTheme="minorHAnsi" w:hAnsiTheme="minorHAnsi"/>
          <w:b/>
          <w:lang w:val="en-GB"/>
        </w:rPr>
      </w:pPr>
      <w:r w:rsidRPr="003E0FC3">
        <w:rPr>
          <w:rFonts w:asciiTheme="minorHAnsi" w:hAnsiTheme="minorHAnsi"/>
          <w:b/>
          <w:lang w:val="en-GB"/>
        </w:rPr>
        <w:t>Health issues and absence</w:t>
      </w:r>
    </w:p>
    <w:p w14:paraId="4BCBC6B0" w14:textId="77777777" w:rsidR="003E0FC3" w:rsidRPr="003E0FC3" w:rsidRDefault="003E0FC3" w:rsidP="002D6475">
      <w:pPr>
        <w:rPr>
          <w:rFonts w:asciiTheme="minorHAnsi" w:hAnsiTheme="minorHAnsi"/>
          <w:lang w:val="en-GB"/>
        </w:rPr>
      </w:pPr>
      <w:r w:rsidRPr="003E0FC3">
        <w:rPr>
          <w:rFonts w:asciiTheme="minorHAnsi" w:hAnsiTheme="minorHAnsi"/>
          <w:lang w:val="en-GB"/>
        </w:rPr>
        <w:t>In January each year, the CEO, together with responsible managers and safety representatives, must review sickness absence data from the previous year to determine whether the causes are work-related. The results of this review may serve as a basis for further examinations of the work environment.</w:t>
      </w:r>
    </w:p>
    <w:p w14:paraId="513EF7A8" w14:textId="072729C0" w:rsidR="003E0FC3" w:rsidRDefault="003E0FC3" w:rsidP="002D6475">
      <w:pPr>
        <w:rPr>
          <w:rFonts w:asciiTheme="minorHAnsi" w:hAnsiTheme="minorHAnsi"/>
          <w:b/>
        </w:rPr>
      </w:pPr>
      <w:proofErr w:type="spellStart"/>
      <w:r w:rsidRPr="003E0FC3">
        <w:rPr>
          <w:rFonts w:asciiTheme="minorHAnsi" w:hAnsiTheme="minorHAnsi"/>
          <w:b/>
        </w:rPr>
        <w:t>Organizational</w:t>
      </w:r>
      <w:proofErr w:type="spellEnd"/>
      <w:r w:rsidRPr="003E0FC3">
        <w:rPr>
          <w:rFonts w:asciiTheme="minorHAnsi" w:hAnsiTheme="minorHAnsi"/>
          <w:b/>
        </w:rPr>
        <w:t xml:space="preserve"> </w:t>
      </w:r>
      <w:proofErr w:type="spellStart"/>
      <w:r w:rsidRPr="003E0FC3">
        <w:rPr>
          <w:rFonts w:asciiTheme="minorHAnsi" w:hAnsiTheme="minorHAnsi"/>
          <w:b/>
        </w:rPr>
        <w:t>changes</w:t>
      </w:r>
      <w:proofErr w:type="spellEnd"/>
    </w:p>
    <w:p w14:paraId="1B25DB0D" w14:textId="77777777" w:rsidR="003E0FC3" w:rsidRDefault="003E0FC3" w:rsidP="002D6475">
      <w:pPr>
        <w:rPr>
          <w:rFonts w:asciiTheme="minorHAnsi" w:hAnsiTheme="minorHAnsi"/>
          <w:lang w:val="en-GB"/>
        </w:rPr>
      </w:pPr>
      <w:r w:rsidRPr="003E0FC3">
        <w:rPr>
          <w:rFonts w:asciiTheme="minorHAnsi" w:hAnsiTheme="minorHAnsi"/>
          <w:lang w:val="en-GB"/>
        </w:rPr>
        <w:t>When major changes are planned in the organization, such as restructuring, rebuilding, or the introduction of new technology, an examination must be conducted to identify potential risks. This examination will serve as the basis for the risk assessment that must be carried out before implementing the change. The CEO or the responsible manager is accountable for examinations conducted in connection with organizational changes.</w:t>
      </w:r>
    </w:p>
    <w:p w14:paraId="34C11D95" w14:textId="506248F3" w:rsidR="002D6475" w:rsidRPr="003E0FC3" w:rsidRDefault="003E0FC3" w:rsidP="002D6475">
      <w:pPr>
        <w:rPr>
          <w:rFonts w:asciiTheme="minorHAnsi" w:hAnsiTheme="minorHAnsi"/>
          <w:lang w:val="en-GB"/>
        </w:rPr>
      </w:pPr>
      <w:r w:rsidRPr="003E0FC3">
        <w:rPr>
          <w:rFonts w:asciiTheme="minorHAnsi" w:hAnsiTheme="minorHAnsi"/>
          <w:b/>
          <w:bCs/>
          <w:lang w:val="en-GB"/>
        </w:rPr>
        <w:t>Forms, instructions, and checklists used</w:t>
      </w:r>
      <w:r>
        <w:rPr>
          <w:rFonts w:asciiTheme="minorHAnsi" w:hAnsiTheme="minorHAnsi"/>
          <w:b/>
          <w:bCs/>
          <w:lang w:val="en-GB"/>
        </w:rPr>
        <w:t>:</w:t>
      </w:r>
      <w:r w:rsidRPr="003E0FC3">
        <w:rPr>
          <w:rFonts w:asciiTheme="minorHAnsi" w:hAnsiTheme="minorHAnsi"/>
          <w:b/>
          <w:lang w:val="en-GB"/>
        </w:rPr>
        <w:br/>
      </w:r>
      <w:r w:rsidRPr="003E0FC3">
        <w:rPr>
          <w:rFonts w:asciiTheme="minorHAnsi" w:hAnsiTheme="minorHAnsi"/>
          <w:bCs/>
          <w:i/>
          <w:iCs/>
          <w:lang w:val="en-GB"/>
        </w:rPr>
        <w:t>Safety Inspection Checklist</w:t>
      </w:r>
    </w:p>
    <w:sectPr w:rsidR="002D6475" w:rsidRPr="003E0FC3" w:rsidSect="00DC53B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3011B" w14:textId="77777777" w:rsidR="0082786A" w:rsidRDefault="0082786A" w:rsidP="00167DFC">
      <w:pPr>
        <w:spacing w:after="0" w:line="240" w:lineRule="auto"/>
      </w:pPr>
      <w:r>
        <w:separator/>
      </w:r>
    </w:p>
  </w:endnote>
  <w:endnote w:type="continuationSeparator" w:id="0">
    <w:p w14:paraId="2D1AD030" w14:textId="77777777" w:rsidR="0082786A" w:rsidRDefault="0082786A" w:rsidP="00167D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AF057" w14:textId="77777777" w:rsidR="0082786A" w:rsidRDefault="0082786A" w:rsidP="00167DFC">
      <w:pPr>
        <w:spacing w:after="0" w:line="240" w:lineRule="auto"/>
      </w:pPr>
      <w:r>
        <w:separator/>
      </w:r>
    </w:p>
  </w:footnote>
  <w:footnote w:type="continuationSeparator" w:id="0">
    <w:p w14:paraId="145D4128" w14:textId="77777777" w:rsidR="0082786A" w:rsidRDefault="0082786A" w:rsidP="00167D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A1384"/>
    <w:multiLevelType w:val="multilevel"/>
    <w:tmpl w:val="C6D8062C"/>
    <w:lvl w:ilvl="0">
      <w:start w:val="5"/>
      <w:numFmt w:val="decimal"/>
      <w:lvlText w:val="%1"/>
      <w:lvlJc w:val="left"/>
      <w:pPr>
        <w:tabs>
          <w:tab w:val="num" w:pos="945"/>
        </w:tabs>
        <w:ind w:left="945" w:hanging="945"/>
      </w:pPr>
      <w:rPr>
        <w:rFonts w:hint="default"/>
      </w:rPr>
    </w:lvl>
    <w:lvl w:ilvl="1">
      <w:start w:val="1"/>
      <w:numFmt w:val="decimal"/>
      <w:lvlText w:val="%1.%2"/>
      <w:lvlJc w:val="left"/>
      <w:pPr>
        <w:tabs>
          <w:tab w:val="num" w:pos="1305"/>
        </w:tabs>
        <w:ind w:left="1305" w:hanging="945"/>
      </w:pPr>
      <w:rPr>
        <w:rFonts w:hint="default"/>
      </w:rPr>
    </w:lvl>
    <w:lvl w:ilvl="2">
      <w:start w:val="1"/>
      <w:numFmt w:val="decimal"/>
      <w:lvlText w:val="%1.%2.%3"/>
      <w:lvlJc w:val="left"/>
      <w:pPr>
        <w:tabs>
          <w:tab w:val="num" w:pos="1655"/>
        </w:tabs>
        <w:ind w:left="1655" w:hanging="945"/>
      </w:pPr>
      <w:rPr>
        <w:rFonts w:hint="default"/>
      </w:rPr>
    </w:lvl>
    <w:lvl w:ilvl="3">
      <w:start w:val="1"/>
      <w:numFmt w:val="decimal"/>
      <w:lvlText w:val="%1.%2.%3.%4"/>
      <w:lvlJc w:val="left"/>
      <w:pPr>
        <w:tabs>
          <w:tab w:val="num" w:pos="2025"/>
        </w:tabs>
        <w:ind w:left="2025" w:hanging="945"/>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 w15:restartNumberingAfterBreak="0">
    <w:nsid w:val="1D050974"/>
    <w:multiLevelType w:val="hybridMultilevel"/>
    <w:tmpl w:val="0D20CA76"/>
    <w:lvl w:ilvl="0" w:tplc="A0321D3A">
      <w:start w:val="2"/>
      <w:numFmt w:val="decimal"/>
      <w:lvlText w:val="%1"/>
      <w:lvlJc w:val="left"/>
      <w:pPr>
        <w:tabs>
          <w:tab w:val="num" w:pos="720"/>
        </w:tabs>
        <w:ind w:left="720" w:hanging="360"/>
      </w:pPr>
      <w:rPr>
        <w:rFonts w:hint="default"/>
      </w:rPr>
    </w:lvl>
    <w:lvl w:ilvl="1" w:tplc="96D60CA2">
      <w:numFmt w:val="none"/>
      <w:lvlText w:val=""/>
      <w:lvlJc w:val="left"/>
      <w:pPr>
        <w:tabs>
          <w:tab w:val="num" w:pos="360"/>
        </w:tabs>
      </w:pPr>
    </w:lvl>
    <w:lvl w:ilvl="2" w:tplc="216A4E52">
      <w:numFmt w:val="none"/>
      <w:lvlText w:val=""/>
      <w:lvlJc w:val="left"/>
      <w:pPr>
        <w:tabs>
          <w:tab w:val="num" w:pos="360"/>
        </w:tabs>
      </w:pPr>
    </w:lvl>
    <w:lvl w:ilvl="3" w:tplc="F12847D6">
      <w:numFmt w:val="none"/>
      <w:lvlText w:val=""/>
      <w:lvlJc w:val="left"/>
      <w:pPr>
        <w:tabs>
          <w:tab w:val="num" w:pos="360"/>
        </w:tabs>
      </w:pPr>
    </w:lvl>
    <w:lvl w:ilvl="4" w:tplc="725EF4E6">
      <w:numFmt w:val="none"/>
      <w:lvlText w:val=""/>
      <w:lvlJc w:val="left"/>
      <w:pPr>
        <w:tabs>
          <w:tab w:val="num" w:pos="360"/>
        </w:tabs>
      </w:pPr>
    </w:lvl>
    <w:lvl w:ilvl="5" w:tplc="C190315E">
      <w:numFmt w:val="none"/>
      <w:lvlText w:val=""/>
      <w:lvlJc w:val="left"/>
      <w:pPr>
        <w:tabs>
          <w:tab w:val="num" w:pos="360"/>
        </w:tabs>
      </w:pPr>
    </w:lvl>
    <w:lvl w:ilvl="6" w:tplc="42E0F3B4">
      <w:numFmt w:val="none"/>
      <w:lvlText w:val=""/>
      <w:lvlJc w:val="left"/>
      <w:pPr>
        <w:tabs>
          <w:tab w:val="num" w:pos="360"/>
        </w:tabs>
      </w:pPr>
    </w:lvl>
    <w:lvl w:ilvl="7" w:tplc="D6C25516">
      <w:numFmt w:val="none"/>
      <w:lvlText w:val=""/>
      <w:lvlJc w:val="left"/>
      <w:pPr>
        <w:tabs>
          <w:tab w:val="num" w:pos="360"/>
        </w:tabs>
      </w:pPr>
    </w:lvl>
    <w:lvl w:ilvl="8" w:tplc="9D3EEBAA">
      <w:numFmt w:val="none"/>
      <w:lvlText w:val=""/>
      <w:lvlJc w:val="left"/>
      <w:pPr>
        <w:tabs>
          <w:tab w:val="num" w:pos="360"/>
        </w:tabs>
      </w:pPr>
    </w:lvl>
  </w:abstractNum>
  <w:abstractNum w:abstractNumId="2" w15:restartNumberingAfterBreak="0">
    <w:nsid w:val="53F06887"/>
    <w:multiLevelType w:val="hybridMultilevel"/>
    <w:tmpl w:val="9ACC3302"/>
    <w:lvl w:ilvl="0" w:tplc="393625CE">
      <w:start w:val="3"/>
      <w:numFmt w:val="decimal"/>
      <w:lvlText w:val="%1."/>
      <w:lvlJc w:val="left"/>
      <w:pPr>
        <w:tabs>
          <w:tab w:val="num" w:pos="720"/>
        </w:tabs>
        <w:ind w:left="720" w:hanging="360"/>
      </w:pPr>
      <w:rPr>
        <w:rFonts w:hint="default"/>
      </w:rPr>
    </w:lvl>
    <w:lvl w:ilvl="1" w:tplc="AF20F3F2">
      <w:numFmt w:val="none"/>
      <w:lvlText w:val=""/>
      <w:lvlJc w:val="left"/>
      <w:pPr>
        <w:tabs>
          <w:tab w:val="num" w:pos="360"/>
        </w:tabs>
      </w:pPr>
    </w:lvl>
    <w:lvl w:ilvl="2" w:tplc="3F7AB4D0">
      <w:numFmt w:val="none"/>
      <w:lvlText w:val=""/>
      <w:lvlJc w:val="left"/>
      <w:pPr>
        <w:tabs>
          <w:tab w:val="num" w:pos="360"/>
        </w:tabs>
      </w:pPr>
    </w:lvl>
    <w:lvl w:ilvl="3" w:tplc="330A59C2">
      <w:numFmt w:val="none"/>
      <w:lvlText w:val=""/>
      <w:lvlJc w:val="left"/>
      <w:pPr>
        <w:tabs>
          <w:tab w:val="num" w:pos="360"/>
        </w:tabs>
      </w:pPr>
    </w:lvl>
    <w:lvl w:ilvl="4" w:tplc="F5D48696">
      <w:numFmt w:val="none"/>
      <w:lvlText w:val=""/>
      <w:lvlJc w:val="left"/>
      <w:pPr>
        <w:tabs>
          <w:tab w:val="num" w:pos="360"/>
        </w:tabs>
      </w:pPr>
    </w:lvl>
    <w:lvl w:ilvl="5" w:tplc="873C97B8">
      <w:numFmt w:val="none"/>
      <w:lvlText w:val=""/>
      <w:lvlJc w:val="left"/>
      <w:pPr>
        <w:tabs>
          <w:tab w:val="num" w:pos="360"/>
        </w:tabs>
      </w:pPr>
    </w:lvl>
    <w:lvl w:ilvl="6" w:tplc="16088060">
      <w:numFmt w:val="none"/>
      <w:lvlText w:val=""/>
      <w:lvlJc w:val="left"/>
      <w:pPr>
        <w:tabs>
          <w:tab w:val="num" w:pos="360"/>
        </w:tabs>
      </w:pPr>
    </w:lvl>
    <w:lvl w:ilvl="7" w:tplc="45AA1B0E">
      <w:numFmt w:val="none"/>
      <w:lvlText w:val=""/>
      <w:lvlJc w:val="left"/>
      <w:pPr>
        <w:tabs>
          <w:tab w:val="num" w:pos="360"/>
        </w:tabs>
      </w:pPr>
    </w:lvl>
    <w:lvl w:ilvl="8" w:tplc="62829E90">
      <w:numFmt w:val="none"/>
      <w:lvlText w:val=""/>
      <w:lvlJc w:val="left"/>
      <w:pPr>
        <w:tabs>
          <w:tab w:val="num" w:pos="360"/>
        </w:tabs>
      </w:pPr>
    </w:lvl>
  </w:abstractNum>
  <w:abstractNum w:abstractNumId="3" w15:restartNumberingAfterBreak="0">
    <w:nsid w:val="5A4970F9"/>
    <w:multiLevelType w:val="hybridMultilevel"/>
    <w:tmpl w:val="591ACE8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65D61326"/>
    <w:multiLevelType w:val="hybridMultilevel"/>
    <w:tmpl w:val="0B96E060"/>
    <w:lvl w:ilvl="0" w:tplc="84589D74">
      <w:start w:val="7"/>
      <w:numFmt w:val="decimal"/>
      <w:lvlText w:val="%1."/>
      <w:lvlJc w:val="left"/>
      <w:pPr>
        <w:tabs>
          <w:tab w:val="num" w:pos="1620"/>
        </w:tabs>
        <w:ind w:left="1620" w:hanging="900"/>
      </w:pPr>
      <w:rPr>
        <w:rFonts w:hint="default"/>
      </w:rPr>
    </w:lvl>
    <w:lvl w:ilvl="1" w:tplc="041D0019" w:tentative="1">
      <w:start w:val="1"/>
      <w:numFmt w:val="lowerLetter"/>
      <w:lvlText w:val="%2."/>
      <w:lvlJc w:val="left"/>
      <w:pPr>
        <w:tabs>
          <w:tab w:val="num" w:pos="1800"/>
        </w:tabs>
        <w:ind w:left="1800" w:hanging="360"/>
      </w:pPr>
    </w:lvl>
    <w:lvl w:ilvl="2" w:tplc="041D001B" w:tentative="1">
      <w:start w:val="1"/>
      <w:numFmt w:val="lowerRoman"/>
      <w:lvlText w:val="%3."/>
      <w:lvlJc w:val="right"/>
      <w:pPr>
        <w:tabs>
          <w:tab w:val="num" w:pos="2520"/>
        </w:tabs>
        <w:ind w:left="2520" w:hanging="180"/>
      </w:pPr>
    </w:lvl>
    <w:lvl w:ilvl="3" w:tplc="041D000F" w:tentative="1">
      <w:start w:val="1"/>
      <w:numFmt w:val="decimal"/>
      <w:lvlText w:val="%4."/>
      <w:lvlJc w:val="left"/>
      <w:pPr>
        <w:tabs>
          <w:tab w:val="num" w:pos="3240"/>
        </w:tabs>
        <w:ind w:left="3240" w:hanging="360"/>
      </w:pPr>
    </w:lvl>
    <w:lvl w:ilvl="4" w:tplc="041D0019" w:tentative="1">
      <w:start w:val="1"/>
      <w:numFmt w:val="lowerLetter"/>
      <w:lvlText w:val="%5."/>
      <w:lvlJc w:val="left"/>
      <w:pPr>
        <w:tabs>
          <w:tab w:val="num" w:pos="3960"/>
        </w:tabs>
        <w:ind w:left="3960" w:hanging="360"/>
      </w:pPr>
    </w:lvl>
    <w:lvl w:ilvl="5" w:tplc="041D001B" w:tentative="1">
      <w:start w:val="1"/>
      <w:numFmt w:val="lowerRoman"/>
      <w:lvlText w:val="%6."/>
      <w:lvlJc w:val="right"/>
      <w:pPr>
        <w:tabs>
          <w:tab w:val="num" w:pos="4680"/>
        </w:tabs>
        <w:ind w:left="4680" w:hanging="180"/>
      </w:pPr>
    </w:lvl>
    <w:lvl w:ilvl="6" w:tplc="041D000F" w:tentative="1">
      <w:start w:val="1"/>
      <w:numFmt w:val="decimal"/>
      <w:lvlText w:val="%7."/>
      <w:lvlJc w:val="left"/>
      <w:pPr>
        <w:tabs>
          <w:tab w:val="num" w:pos="5400"/>
        </w:tabs>
        <w:ind w:left="5400" w:hanging="360"/>
      </w:pPr>
    </w:lvl>
    <w:lvl w:ilvl="7" w:tplc="041D0019" w:tentative="1">
      <w:start w:val="1"/>
      <w:numFmt w:val="lowerLetter"/>
      <w:lvlText w:val="%8."/>
      <w:lvlJc w:val="left"/>
      <w:pPr>
        <w:tabs>
          <w:tab w:val="num" w:pos="6120"/>
        </w:tabs>
        <w:ind w:left="6120" w:hanging="360"/>
      </w:pPr>
    </w:lvl>
    <w:lvl w:ilvl="8" w:tplc="041D001B" w:tentative="1">
      <w:start w:val="1"/>
      <w:numFmt w:val="lowerRoman"/>
      <w:lvlText w:val="%9."/>
      <w:lvlJc w:val="right"/>
      <w:pPr>
        <w:tabs>
          <w:tab w:val="num" w:pos="6840"/>
        </w:tabs>
        <w:ind w:left="6840" w:hanging="180"/>
      </w:pPr>
    </w:lvl>
  </w:abstractNum>
  <w:abstractNum w:abstractNumId="5" w15:restartNumberingAfterBreak="0">
    <w:nsid w:val="79AC1063"/>
    <w:multiLevelType w:val="hybridMultilevel"/>
    <w:tmpl w:val="632632B6"/>
    <w:lvl w:ilvl="0" w:tplc="D55227F8">
      <w:start w:val="1"/>
      <w:numFmt w:val="decimal"/>
      <w:lvlText w:val="%1."/>
      <w:lvlJc w:val="left"/>
      <w:pPr>
        <w:tabs>
          <w:tab w:val="num" w:pos="720"/>
        </w:tabs>
        <w:ind w:left="720" w:hanging="360"/>
      </w:pPr>
      <w:rPr>
        <w:rFonts w:hint="default"/>
      </w:rPr>
    </w:lvl>
    <w:lvl w:ilvl="1" w:tplc="9D763880">
      <w:numFmt w:val="none"/>
      <w:lvlText w:val=""/>
      <w:lvlJc w:val="left"/>
      <w:pPr>
        <w:tabs>
          <w:tab w:val="num" w:pos="360"/>
        </w:tabs>
      </w:pPr>
    </w:lvl>
    <w:lvl w:ilvl="2" w:tplc="E77E64E4">
      <w:numFmt w:val="none"/>
      <w:lvlText w:val=""/>
      <w:lvlJc w:val="left"/>
      <w:pPr>
        <w:tabs>
          <w:tab w:val="num" w:pos="360"/>
        </w:tabs>
      </w:pPr>
    </w:lvl>
    <w:lvl w:ilvl="3" w:tplc="D6F6155E">
      <w:numFmt w:val="none"/>
      <w:lvlText w:val=""/>
      <w:lvlJc w:val="left"/>
      <w:pPr>
        <w:tabs>
          <w:tab w:val="num" w:pos="360"/>
        </w:tabs>
      </w:pPr>
    </w:lvl>
    <w:lvl w:ilvl="4" w:tplc="F8BC08B0">
      <w:numFmt w:val="none"/>
      <w:lvlText w:val=""/>
      <w:lvlJc w:val="left"/>
      <w:pPr>
        <w:tabs>
          <w:tab w:val="num" w:pos="360"/>
        </w:tabs>
      </w:pPr>
    </w:lvl>
    <w:lvl w:ilvl="5" w:tplc="8D4AECFA">
      <w:numFmt w:val="none"/>
      <w:lvlText w:val=""/>
      <w:lvlJc w:val="left"/>
      <w:pPr>
        <w:tabs>
          <w:tab w:val="num" w:pos="360"/>
        </w:tabs>
      </w:pPr>
    </w:lvl>
    <w:lvl w:ilvl="6" w:tplc="E7BCA0EC">
      <w:numFmt w:val="none"/>
      <w:lvlText w:val=""/>
      <w:lvlJc w:val="left"/>
      <w:pPr>
        <w:tabs>
          <w:tab w:val="num" w:pos="360"/>
        </w:tabs>
      </w:pPr>
    </w:lvl>
    <w:lvl w:ilvl="7" w:tplc="30BE6708">
      <w:numFmt w:val="none"/>
      <w:lvlText w:val=""/>
      <w:lvlJc w:val="left"/>
      <w:pPr>
        <w:tabs>
          <w:tab w:val="num" w:pos="360"/>
        </w:tabs>
      </w:pPr>
    </w:lvl>
    <w:lvl w:ilvl="8" w:tplc="23305014">
      <w:numFmt w:val="none"/>
      <w:lvlText w:val=""/>
      <w:lvlJc w:val="left"/>
      <w:pPr>
        <w:tabs>
          <w:tab w:val="num" w:pos="360"/>
        </w:tabs>
      </w:pPr>
    </w:lvl>
  </w:abstractNum>
  <w:num w:numId="1" w16cid:durableId="2129202948">
    <w:abstractNumId w:val="5"/>
  </w:num>
  <w:num w:numId="2" w16cid:durableId="935985405">
    <w:abstractNumId w:val="1"/>
  </w:num>
  <w:num w:numId="3" w16cid:durableId="904680161">
    <w:abstractNumId w:val="2"/>
  </w:num>
  <w:num w:numId="4" w16cid:durableId="1752897205">
    <w:abstractNumId w:val="0"/>
  </w:num>
  <w:num w:numId="5" w16cid:durableId="299657277">
    <w:abstractNumId w:val="4"/>
  </w:num>
  <w:num w:numId="6" w16cid:durableId="21338188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FC3"/>
    <w:rsid w:val="000136EC"/>
    <w:rsid w:val="0004787A"/>
    <w:rsid w:val="0007137A"/>
    <w:rsid w:val="00080204"/>
    <w:rsid w:val="00134CE1"/>
    <w:rsid w:val="00135D83"/>
    <w:rsid w:val="0015250D"/>
    <w:rsid w:val="00167DFC"/>
    <w:rsid w:val="00194499"/>
    <w:rsid w:val="001C3422"/>
    <w:rsid w:val="001D1C4B"/>
    <w:rsid w:val="001D237C"/>
    <w:rsid w:val="002547AC"/>
    <w:rsid w:val="00285A1D"/>
    <w:rsid w:val="0029533C"/>
    <w:rsid w:val="002A44FC"/>
    <w:rsid w:val="002A4D12"/>
    <w:rsid w:val="002A61A3"/>
    <w:rsid w:val="002B1E80"/>
    <w:rsid w:val="002D6475"/>
    <w:rsid w:val="0033666D"/>
    <w:rsid w:val="00341F53"/>
    <w:rsid w:val="003660C1"/>
    <w:rsid w:val="00372984"/>
    <w:rsid w:val="003A1EE9"/>
    <w:rsid w:val="003B38D8"/>
    <w:rsid w:val="003C4CF7"/>
    <w:rsid w:val="003C7CA5"/>
    <w:rsid w:val="003E0FC3"/>
    <w:rsid w:val="003E53D0"/>
    <w:rsid w:val="003F04D7"/>
    <w:rsid w:val="004B6644"/>
    <w:rsid w:val="004C7FEE"/>
    <w:rsid w:val="004E6C9A"/>
    <w:rsid w:val="004F4E65"/>
    <w:rsid w:val="005225B1"/>
    <w:rsid w:val="00536A33"/>
    <w:rsid w:val="005542DC"/>
    <w:rsid w:val="005B050A"/>
    <w:rsid w:val="005B369E"/>
    <w:rsid w:val="005E0C0C"/>
    <w:rsid w:val="005E14C6"/>
    <w:rsid w:val="005F2BFA"/>
    <w:rsid w:val="005F2D51"/>
    <w:rsid w:val="00604597"/>
    <w:rsid w:val="00607E2C"/>
    <w:rsid w:val="00641769"/>
    <w:rsid w:val="006513F0"/>
    <w:rsid w:val="00675971"/>
    <w:rsid w:val="006907C5"/>
    <w:rsid w:val="006B15F7"/>
    <w:rsid w:val="006B7196"/>
    <w:rsid w:val="006D00F6"/>
    <w:rsid w:val="0072756A"/>
    <w:rsid w:val="007771C3"/>
    <w:rsid w:val="007838FF"/>
    <w:rsid w:val="007B1C6F"/>
    <w:rsid w:val="007B37DD"/>
    <w:rsid w:val="007C0D49"/>
    <w:rsid w:val="0082786A"/>
    <w:rsid w:val="0084791F"/>
    <w:rsid w:val="00871D7E"/>
    <w:rsid w:val="0089270C"/>
    <w:rsid w:val="008A4F52"/>
    <w:rsid w:val="008E3229"/>
    <w:rsid w:val="008F2E5E"/>
    <w:rsid w:val="00933F51"/>
    <w:rsid w:val="00947051"/>
    <w:rsid w:val="009E3FFA"/>
    <w:rsid w:val="00A210CA"/>
    <w:rsid w:val="00A44678"/>
    <w:rsid w:val="00A549B9"/>
    <w:rsid w:val="00A604A3"/>
    <w:rsid w:val="00A87689"/>
    <w:rsid w:val="00A93130"/>
    <w:rsid w:val="00AE08BD"/>
    <w:rsid w:val="00B27F59"/>
    <w:rsid w:val="00B40176"/>
    <w:rsid w:val="00B46335"/>
    <w:rsid w:val="00B8246B"/>
    <w:rsid w:val="00BD4989"/>
    <w:rsid w:val="00BE4B79"/>
    <w:rsid w:val="00C00670"/>
    <w:rsid w:val="00C030E8"/>
    <w:rsid w:val="00C4263C"/>
    <w:rsid w:val="00CE63E9"/>
    <w:rsid w:val="00D05A1F"/>
    <w:rsid w:val="00D64608"/>
    <w:rsid w:val="00D80BF0"/>
    <w:rsid w:val="00DB0804"/>
    <w:rsid w:val="00DC53B9"/>
    <w:rsid w:val="00DD1F46"/>
    <w:rsid w:val="00E002CB"/>
    <w:rsid w:val="00E46C4F"/>
    <w:rsid w:val="00E623F0"/>
    <w:rsid w:val="00E62BB5"/>
    <w:rsid w:val="00E738AB"/>
    <w:rsid w:val="00F003B8"/>
    <w:rsid w:val="00F038C9"/>
    <w:rsid w:val="00F2564B"/>
    <w:rsid w:val="00F556AB"/>
    <w:rsid w:val="00F7787B"/>
    <w:rsid w:val="00FB399E"/>
    <w:rsid w:val="00FC3587"/>
    <w:rsid w:val="00FD22A2"/>
    <w:rsid w:val="00FE65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240BD"/>
  <w15:docId w15:val="{337C2A67-669A-45A9-8246-BB9C91457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3B9"/>
    <w:pPr>
      <w:spacing w:after="200" w:line="276" w:lineRule="auto"/>
    </w:pPr>
    <w:rPr>
      <w:sz w:val="22"/>
      <w:szCs w:val="22"/>
      <w:lang w:val="sv-SE"/>
    </w:rPr>
  </w:style>
  <w:style w:type="paragraph" w:styleId="Rubrik2">
    <w:name w:val="heading 2"/>
    <w:basedOn w:val="Normal"/>
    <w:next w:val="Normal"/>
    <w:link w:val="Rubrik2Char"/>
    <w:qFormat/>
    <w:rsid w:val="00F7787B"/>
    <w:pPr>
      <w:keepNext/>
      <w:spacing w:after="0" w:line="240" w:lineRule="auto"/>
      <w:ind w:left="720"/>
      <w:outlineLvl w:val="1"/>
    </w:pPr>
    <w:rPr>
      <w:rFonts w:ascii="Times New Roman" w:eastAsia="Times New Roman" w:hAnsi="Times New Roman"/>
      <w:sz w:val="28"/>
      <w:szCs w:val="24"/>
      <w:lang w:eastAsia="sv-SE"/>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39"/>
    <w:rsid w:val="005B369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idhuvud">
    <w:name w:val="header"/>
    <w:basedOn w:val="Normal"/>
    <w:link w:val="SidhuvudChar"/>
    <w:uiPriority w:val="99"/>
    <w:unhideWhenUsed/>
    <w:rsid w:val="00167DFC"/>
    <w:pPr>
      <w:tabs>
        <w:tab w:val="center" w:pos="4536"/>
        <w:tab w:val="right" w:pos="9072"/>
      </w:tabs>
    </w:pPr>
  </w:style>
  <w:style w:type="character" w:customStyle="1" w:styleId="SidhuvudChar">
    <w:name w:val="Sidhuvud Char"/>
    <w:basedOn w:val="Standardstycketeckensnitt"/>
    <w:link w:val="Sidhuvud"/>
    <w:uiPriority w:val="99"/>
    <w:rsid w:val="00167DFC"/>
    <w:rPr>
      <w:sz w:val="22"/>
      <w:szCs w:val="22"/>
      <w:lang w:eastAsia="en-US"/>
    </w:rPr>
  </w:style>
  <w:style w:type="paragraph" w:styleId="Sidfot">
    <w:name w:val="footer"/>
    <w:basedOn w:val="Normal"/>
    <w:link w:val="SidfotChar"/>
    <w:uiPriority w:val="99"/>
    <w:unhideWhenUsed/>
    <w:rsid w:val="00167DFC"/>
    <w:pPr>
      <w:tabs>
        <w:tab w:val="center" w:pos="4536"/>
        <w:tab w:val="right" w:pos="9072"/>
      </w:tabs>
    </w:pPr>
  </w:style>
  <w:style w:type="character" w:customStyle="1" w:styleId="SidfotChar">
    <w:name w:val="Sidfot Char"/>
    <w:basedOn w:val="Standardstycketeckensnitt"/>
    <w:link w:val="Sidfot"/>
    <w:uiPriority w:val="99"/>
    <w:rsid w:val="00167DFC"/>
    <w:rPr>
      <w:sz w:val="22"/>
      <w:szCs w:val="22"/>
      <w:lang w:eastAsia="en-US"/>
    </w:rPr>
  </w:style>
  <w:style w:type="paragraph" w:styleId="Ballongtext">
    <w:name w:val="Balloon Text"/>
    <w:basedOn w:val="Normal"/>
    <w:link w:val="BallongtextChar"/>
    <w:uiPriority w:val="99"/>
    <w:semiHidden/>
    <w:unhideWhenUsed/>
    <w:rsid w:val="00167DFC"/>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167DFC"/>
    <w:rPr>
      <w:rFonts w:ascii="Tahoma" w:hAnsi="Tahoma" w:cs="Tahoma"/>
      <w:sz w:val="16"/>
      <w:szCs w:val="16"/>
      <w:lang w:eastAsia="en-US"/>
    </w:rPr>
  </w:style>
  <w:style w:type="character" w:styleId="Hyperlnk">
    <w:name w:val="Hyperlink"/>
    <w:basedOn w:val="Standardstycketeckensnitt"/>
    <w:uiPriority w:val="99"/>
    <w:unhideWhenUsed/>
    <w:rsid w:val="006D00F6"/>
    <w:rPr>
      <w:color w:val="0000FF"/>
      <w:u w:val="single"/>
    </w:rPr>
  </w:style>
  <w:style w:type="character" w:customStyle="1" w:styleId="Rubrik2Char">
    <w:name w:val="Rubrik 2 Char"/>
    <w:basedOn w:val="Standardstycketeckensnitt"/>
    <w:link w:val="Rubrik2"/>
    <w:rsid w:val="00F7787B"/>
    <w:rPr>
      <w:rFonts w:ascii="Times New Roman" w:eastAsia="Times New Roman" w:hAnsi="Times New Roman"/>
      <w:sz w:val="28"/>
      <w:szCs w:val="24"/>
    </w:rPr>
  </w:style>
  <w:style w:type="character" w:styleId="Platshllartext">
    <w:name w:val="Placeholder Text"/>
    <w:basedOn w:val="Standardstycketeckensnitt"/>
    <w:uiPriority w:val="99"/>
    <w:semiHidden/>
    <w:rsid w:val="0015250D"/>
    <w:rPr>
      <w:color w:val="808080"/>
    </w:rPr>
  </w:style>
  <w:style w:type="paragraph" w:styleId="Liststycke">
    <w:name w:val="List Paragraph"/>
    <w:basedOn w:val="Normal"/>
    <w:uiPriority w:val="34"/>
    <w:qFormat/>
    <w:rsid w:val="00E738AB"/>
    <w:pPr>
      <w:ind w:left="720"/>
      <w:contextualSpacing/>
    </w:pPr>
  </w:style>
  <w:style w:type="paragraph" w:styleId="Rubrik">
    <w:name w:val="Title"/>
    <w:basedOn w:val="Normal"/>
    <w:next w:val="Normal"/>
    <w:link w:val="RubrikChar"/>
    <w:uiPriority w:val="10"/>
    <w:qFormat/>
    <w:rsid w:val="0037298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372984"/>
    <w:rPr>
      <w:rFonts w:asciiTheme="majorHAnsi" w:eastAsiaTheme="majorEastAsia" w:hAnsiTheme="majorHAnsi" w:cstheme="majorBidi"/>
      <w:spacing w:val="-10"/>
      <w:kern w:val="28"/>
      <w:sz w:val="56"/>
      <w:szCs w:val="56"/>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nja\Downloads\Rutin-unders&#246;ka-arbetsmilj&#246;n%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Rutin-undersöka-arbetsmiljön (3)</Template>
  <TotalTime>12</TotalTime>
  <Pages>2</Pages>
  <Words>614</Words>
  <Characters>3259</Characters>
  <Application>Microsoft Office Word</Application>
  <DocSecurity>0</DocSecurity>
  <Lines>27</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Prevent</Company>
  <LinksUpToDate>false</LinksUpToDate>
  <CharactersWithSpaces>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ronja</dc:creator>
  <cp:lastModifiedBy>Ronja Brinkemar</cp:lastModifiedBy>
  <cp:revision>1</cp:revision>
  <dcterms:created xsi:type="dcterms:W3CDTF">2025-10-03T10:37:00Z</dcterms:created>
  <dcterms:modified xsi:type="dcterms:W3CDTF">2025-10-03T10:49:00Z</dcterms:modified>
</cp:coreProperties>
</file>